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32B01">
      <w:pPr>
        <w:rPr>
          <w:b/>
          <w:lang w:val="en-US"/>
        </w:rPr>
      </w:pPr>
      <w:r>
        <w:rPr>
          <w:b/>
          <w:lang w:val="en-US"/>
        </w:rPr>
        <w:t>Name of politician:</w:t>
      </w:r>
      <w:r>
        <w:rPr>
          <w:lang w:val="en-US"/>
        </w:rPr>
        <w:t xml:space="preserve">  </w:t>
      </w:r>
      <w:r>
        <w:rPr>
          <w:lang w:val="en-US"/>
        </w:rPr>
        <w:t>Andrius Kubilius</w:t>
      </w:r>
    </w:p>
    <w:p w:rsidR="00000000" w:rsidRDefault="00232B01">
      <w:pPr>
        <w:rPr>
          <w:b/>
          <w:lang w:val="en-US"/>
        </w:rPr>
      </w:pPr>
      <w:r>
        <w:rPr>
          <w:b/>
          <w:lang w:val="en-US"/>
        </w:rPr>
        <w:t>Title of Speech:</w:t>
      </w:r>
      <w:r>
        <w:rPr>
          <w:lang w:val="en-US"/>
        </w:rPr>
        <w:t xml:space="preserve">  </w:t>
      </w:r>
      <w:r>
        <w:rPr>
          <w:lang w:val="en-US"/>
        </w:rPr>
        <w:t xml:space="preserve">Opening of </w:t>
      </w:r>
      <w:r>
        <w:rPr>
          <w:lang w:val="en-US"/>
        </w:rPr>
        <w:t xml:space="preserve">auditorium in Free International University of Moldova </w:t>
      </w:r>
    </w:p>
    <w:p w:rsidR="00000000" w:rsidRDefault="00232B01">
      <w:pPr>
        <w:rPr>
          <w:b/>
          <w:lang w:val="en-US"/>
        </w:rPr>
      </w:pPr>
      <w:r>
        <w:rPr>
          <w:b/>
          <w:lang w:val="en-US"/>
        </w:rPr>
        <w:t xml:space="preserve">Date of Speech: </w:t>
      </w:r>
      <w:r>
        <w:rPr>
          <w:b/>
          <w:lang w:val="en-US"/>
        </w:rPr>
        <w:t>27 January 2010</w:t>
      </w:r>
    </w:p>
    <w:p w:rsidR="00000000" w:rsidRDefault="00232B01">
      <w:pPr>
        <w:rPr>
          <w:b/>
          <w:lang w:val="en-US"/>
        </w:rPr>
      </w:pPr>
      <w:r>
        <w:rPr>
          <w:b/>
          <w:lang w:val="en-US"/>
        </w:rPr>
        <w:t xml:space="preserve">Category: </w:t>
      </w:r>
      <w:r>
        <w:rPr>
          <w:b/>
          <w:lang w:val="en-US"/>
        </w:rPr>
        <w:t>international</w:t>
      </w:r>
    </w:p>
    <w:p w:rsidR="00000000" w:rsidRDefault="00232B01">
      <w:pPr>
        <w:rPr>
          <w:b/>
          <w:lang w:val="en-US"/>
        </w:rPr>
      </w:pPr>
      <w:r>
        <w:rPr>
          <w:b/>
          <w:lang w:val="en-US"/>
        </w:rPr>
        <w:t>Grader:</w:t>
      </w:r>
      <w:r>
        <w:rPr>
          <w:lang w:val="en-US"/>
        </w:rPr>
        <w:t xml:space="preserve">  </w:t>
      </w:r>
      <w:r>
        <w:rPr>
          <w:lang w:val="en-US"/>
        </w:rPr>
        <w:t>Inga Popovaite</w:t>
      </w:r>
    </w:p>
    <w:p w:rsidR="00000000" w:rsidRDefault="00232B01">
      <w:pPr>
        <w:rPr>
          <w:lang w:val="en-US"/>
        </w:rPr>
      </w:pPr>
      <w:r>
        <w:rPr>
          <w:b/>
          <w:lang w:val="en-US"/>
        </w:rPr>
        <w:t>Date of grading:</w:t>
      </w:r>
      <w:r>
        <w:rPr>
          <w:lang w:val="en-US"/>
        </w:rPr>
        <w:t xml:space="preserve">  </w:t>
      </w:r>
      <w:r>
        <w:rPr>
          <w:lang w:val="en-US"/>
        </w:rPr>
        <w:t xml:space="preserve">30 April 2013 </w:t>
      </w:r>
    </w:p>
    <w:p w:rsidR="00000000" w:rsidRDefault="00232B01">
      <w:pPr>
        <w:rPr>
          <w:lang w:val="en-US"/>
        </w:rPr>
      </w:pPr>
    </w:p>
    <w:p w:rsidR="00000000" w:rsidRDefault="00232B01">
      <w:pPr>
        <w:rPr>
          <w:lang w:val="en-US"/>
        </w:rPr>
      </w:pPr>
      <w:r>
        <w:rPr>
          <w:b/>
          <w:lang w:val="en-US"/>
        </w:rPr>
        <w:t>Final Grade (delete</w:t>
      </w:r>
      <w:r>
        <w:rPr>
          <w:b/>
          <w:lang w:val="en-US"/>
        </w:rPr>
        <w:t xml:space="preserve"> unused grades):</w:t>
      </w:r>
    </w:p>
    <w:p w:rsidR="00000000" w:rsidRDefault="00232B01">
      <w:pPr>
        <w:rPr>
          <w:lang w:val="en-US"/>
        </w:rPr>
      </w:pPr>
    </w:p>
    <w:p w:rsidR="00000000" w:rsidRDefault="00232B01">
      <w:pPr>
        <w:rPr>
          <w:lang w:val="en-US"/>
        </w:rPr>
      </w:pPr>
      <w:r>
        <w:rPr>
          <w:lang w:val="en-US"/>
        </w:rPr>
        <w:t>0</w:t>
      </w:r>
      <w:r>
        <w:rPr>
          <w:lang w:val="en-US"/>
        </w:rPr>
        <w:tab/>
        <w:t>A speech in this category uses few if any populist elements. Note that even if a manifesto expresses a Manichaean worldview, it is not considered populist if it lacks some notion of a popular will.</w:t>
      </w:r>
    </w:p>
    <w:p w:rsidR="00000000" w:rsidRDefault="00232B01">
      <w:pPr>
        <w:rPr>
          <w:lang w:val="en-US"/>
        </w:rPr>
      </w:pPr>
    </w:p>
    <w:p w:rsidR="00000000" w:rsidRDefault="00232B01">
      <w:pPr>
        <w:rPr>
          <w:lang w:val="en-US"/>
        </w:rPr>
      </w:pPr>
    </w:p>
    <w:tbl>
      <w:tblPr>
        <w:tblW w:w="0" w:type="auto"/>
        <w:tblInd w:w="-5" w:type="dxa"/>
        <w:tblLayout w:type="fixed"/>
        <w:tblLook w:val="0000"/>
      </w:tblPr>
      <w:tblGrid>
        <w:gridCol w:w="4860"/>
        <w:gridCol w:w="4726"/>
      </w:tblGrid>
      <w:tr w:rsidR="00000000">
        <w:tc>
          <w:tcPr>
            <w:tcW w:w="4860" w:type="dxa"/>
            <w:tcBorders>
              <w:top w:val="single" w:sz="4" w:space="0" w:color="000000"/>
              <w:left w:val="single" w:sz="4" w:space="0" w:color="000000"/>
              <w:bottom w:val="single" w:sz="4" w:space="0" w:color="000000"/>
            </w:tcBorders>
            <w:shd w:val="clear" w:color="auto" w:fill="auto"/>
          </w:tcPr>
          <w:p w:rsidR="00000000" w:rsidRDefault="00232B01">
            <w:pPr>
              <w:rPr>
                <w:rFonts w:eastAsia="Times New Roman"/>
                <w:b/>
                <w:lang w:val="en-US"/>
              </w:rPr>
            </w:pPr>
            <w:r>
              <w:rPr>
                <w:rFonts w:eastAsia="Times New Roman"/>
                <w:b/>
                <w:lang w:val="en-US"/>
              </w:rPr>
              <w:t>Populist</w:t>
            </w:r>
          </w:p>
        </w:tc>
        <w:tc>
          <w:tcPr>
            <w:tcW w:w="472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232B01">
            <w:pPr>
              <w:rPr>
                <w:rFonts w:eastAsia="Times New Roman"/>
                <w:lang w:val="en-US"/>
              </w:rPr>
            </w:pPr>
            <w:r>
              <w:rPr>
                <w:rFonts w:eastAsia="Times New Roman"/>
                <w:b/>
                <w:lang w:val="en-US"/>
              </w:rPr>
              <w:t>Pluralist</w:t>
            </w:r>
          </w:p>
        </w:tc>
      </w:tr>
      <w:tr w:rsidR="00000000">
        <w:tc>
          <w:tcPr>
            <w:tcW w:w="4860" w:type="dxa"/>
            <w:tcBorders>
              <w:top w:val="single" w:sz="4" w:space="0" w:color="000000"/>
              <w:left w:val="single" w:sz="4" w:space="0" w:color="000000"/>
              <w:bottom w:val="single" w:sz="4" w:space="0" w:color="000000"/>
            </w:tcBorders>
            <w:shd w:val="clear" w:color="auto" w:fill="auto"/>
          </w:tcPr>
          <w:p w:rsidR="00000000" w:rsidRDefault="00232B01">
            <w:pPr>
              <w:rPr>
                <w:rFonts w:eastAsia="Times New Roman"/>
                <w:lang w:val="en-US"/>
              </w:rPr>
            </w:pPr>
            <w:r>
              <w:rPr>
                <w:rFonts w:eastAsia="Times New Roman"/>
                <w:lang w:val="en-US"/>
              </w:rPr>
              <w:t>It conveys a Man</w:t>
            </w:r>
            <w:r>
              <w:rPr>
                <w:rFonts w:eastAsia="Times New Roman"/>
                <w:lang w:val="en-US"/>
              </w:rPr>
              <w:t>ichaean vision of the world, that is, one that is moral (every issue has a strong moral dimension) and dualistic (everything is in one category or the other, “right” or “wrong,” “good” or “evil”) The implication—or even the stated idea—is that there can be</w:t>
            </w:r>
            <w:r>
              <w:rPr>
                <w:rFonts w:eastAsia="Times New Roman"/>
                <w:lang w:val="en-US"/>
              </w:rPr>
              <w:t xml:space="preserve"> nothing in between, no fence-sitting, no shades of grey. This leads to the use of highly charged, even bellicose language.</w:t>
            </w:r>
          </w:p>
        </w:tc>
        <w:tc>
          <w:tcPr>
            <w:tcW w:w="472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232B01">
            <w:pPr>
              <w:rPr>
                <w:rFonts w:eastAsia="Times New Roman"/>
                <w:i/>
                <w:iCs/>
                <w:lang w:val="en-US"/>
              </w:rPr>
            </w:pPr>
            <w:r>
              <w:rPr>
                <w:rFonts w:eastAsia="Times New Roman"/>
                <w:lang w:val="en-US"/>
              </w:rPr>
              <w:t>The discourse does not frame issues in moral terms or paint them in black-and-white. Instead, there is a strong tendency to focus on</w:t>
            </w:r>
            <w:r>
              <w:rPr>
                <w:rFonts w:eastAsia="Times New Roman"/>
                <w:lang w:val="en-US"/>
              </w:rPr>
              <w:t xml:space="preserve"> </w:t>
            </w:r>
            <w:r>
              <w:rPr>
                <w:rFonts w:eastAsia="Times New Roman"/>
                <w:b/>
                <w:lang w:val="en-US"/>
              </w:rPr>
              <w:t>narrow, particular issues</w:t>
            </w:r>
            <w:r>
              <w:rPr>
                <w:rFonts w:eastAsia="Times New Roman"/>
                <w:lang w:val="en-US"/>
              </w:rPr>
              <w:t>. The discourse will emphasize or at least not eliminate the possibility of natural, justifiable differences of opinion.</w:t>
            </w:r>
          </w:p>
          <w:p w:rsidR="00000000" w:rsidRDefault="00232B01">
            <w:pPr>
              <w:rPr>
                <w:rFonts w:eastAsia="Times New Roman"/>
                <w:lang w:val="en-US"/>
              </w:rPr>
            </w:pPr>
            <w:r>
              <w:rPr>
                <w:rFonts w:eastAsia="Times New Roman"/>
                <w:i/>
                <w:iCs/>
                <w:lang w:val="en-US"/>
              </w:rPr>
              <w:t xml:space="preserve">Is mostly talking about Moldova's </w:t>
            </w:r>
            <w:r>
              <w:rPr>
                <w:rFonts w:eastAsia="Times New Roman"/>
                <w:i/>
                <w:iCs/>
                <w:lang w:val="en-US"/>
              </w:rPr>
              <w:t>Euro- integration</w:t>
            </w:r>
            <w:r>
              <w:rPr>
                <w:rFonts w:eastAsia="Times New Roman"/>
                <w:i/>
                <w:iCs/>
                <w:lang w:val="en-US"/>
              </w:rPr>
              <w:t xml:space="preserve"> and Trans</w:t>
            </w:r>
            <w:r>
              <w:rPr>
                <w:rFonts w:eastAsia="Times New Roman"/>
                <w:i/>
                <w:iCs/>
                <w:lang w:val="en-US"/>
              </w:rPr>
              <w:t>d</w:t>
            </w:r>
            <w:r>
              <w:rPr>
                <w:rFonts w:eastAsia="Times New Roman"/>
                <w:i/>
                <w:iCs/>
                <w:lang w:val="en-US"/>
              </w:rPr>
              <w:t>nistria region</w:t>
            </w:r>
          </w:p>
        </w:tc>
      </w:tr>
      <w:tr w:rsidR="00000000">
        <w:tc>
          <w:tcPr>
            <w:tcW w:w="4860" w:type="dxa"/>
            <w:tcBorders>
              <w:top w:val="single" w:sz="4" w:space="0" w:color="000000"/>
              <w:left w:val="single" w:sz="4" w:space="0" w:color="000000"/>
              <w:bottom w:val="single" w:sz="4" w:space="0" w:color="000000"/>
            </w:tcBorders>
            <w:shd w:val="clear" w:color="auto" w:fill="auto"/>
          </w:tcPr>
          <w:p w:rsidR="00000000" w:rsidRDefault="00232B01">
            <w:pPr>
              <w:rPr>
                <w:lang w:val="en-US"/>
              </w:rPr>
            </w:pPr>
            <w:r>
              <w:rPr>
                <w:rFonts w:eastAsia="Times New Roman"/>
                <w:lang w:val="en-US"/>
              </w:rPr>
              <w:t>The moral significance of the i</w:t>
            </w:r>
            <w:r>
              <w:rPr>
                <w:rFonts w:eastAsia="Times New Roman"/>
                <w:lang w:val="en-US"/>
              </w:rPr>
              <w:t xml:space="preserve">tems mentioned in the speech is heightened by ascribing </w:t>
            </w:r>
            <w:r>
              <w:rPr>
                <w:rFonts w:eastAsia="Times New Roman"/>
                <w:b/>
                <w:lang w:val="en-US"/>
              </w:rPr>
              <w:t>cosmic proportions</w:t>
            </w:r>
            <w:r>
              <w:rPr>
                <w:rFonts w:eastAsia="Times New Roman"/>
                <w:lang w:val="en-US"/>
              </w:rPr>
              <w:t xml:space="preserve"> to them, that is, by claiming that they affect people everywhere (possibly but not necessarily across the world) and across time. Especially in this last regard, frequent references</w:t>
            </w:r>
            <w:r>
              <w:rPr>
                <w:rFonts w:eastAsia="Times New Roman"/>
                <w:lang w:val="en-US"/>
              </w:rPr>
              <w:t xml:space="preserve"> may be made to a reified notion of “history.” At the same time, the speaker will justify the moral significance of his or her ideas by tying them to </w:t>
            </w:r>
            <w:r>
              <w:rPr>
                <w:rFonts w:eastAsia="Times New Roman"/>
                <w:b/>
                <w:lang w:val="en-US"/>
              </w:rPr>
              <w:t>national and religious leaders</w:t>
            </w:r>
            <w:r>
              <w:rPr>
                <w:rFonts w:eastAsia="Times New Roman"/>
                <w:lang w:val="en-US"/>
              </w:rPr>
              <w:t xml:space="preserve"> that are generally revered.</w:t>
            </w:r>
          </w:p>
          <w:p w:rsidR="00000000" w:rsidRDefault="00232B01">
            <w:pPr>
              <w:rPr>
                <w:lang w:val="en-US"/>
              </w:rPr>
            </w:pPr>
          </w:p>
          <w:p w:rsidR="00000000" w:rsidRDefault="00232B01">
            <w:pPr>
              <w:rPr>
                <w:lang w:val="en-US"/>
              </w:rPr>
            </w:pPr>
            <w:r>
              <w:rPr>
                <w:rFonts w:eastAsia="Times New Roman"/>
                <w:i/>
                <w:iCs/>
                <w:lang w:val="en-US"/>
              </w:rPr>
              <w:t>He is justifying Moldova's and Lithuania's rel</w:t>
            </w:r>
            <w:r>
              <w:rPr>
                <w:rFonts w:eastAsia="Times New Roman"/>
                <w:i/>
                <w:iCs/>
                <w:lang w:val="en-US"/>
              </w:rPr>
              <w:t xml:space="preserve">ation </w:t>
            </w:r>
            <w:r>
              <w:rPr>
                <w:rFonts w:eastAsia="Times New Roman"/>
                <w:i/>
                <w:iCs/>
                <w:lang w:val="en-US"/>
              </w:rPr>
              <w:t>by</w:t>
            </w:r>
            <w:r>
              <w:rPr>
                <w:rFonts w:eastAsia="Times New Roman"/>
                <w:i/>
                <w:iCs/>
                <w:lang w:val="en-US"/>
              </w:rPr>
              <w:t xml:space="preserve"> common history. History also implies that Moldova has to be a part of European Union. </w:t>
            </w:r>
          </w:p>
          <w:p w:rsidR="00000000" w:rsidRDefault="00232B01">
            <w:pPr>
              <w:rPr>
                <w:lang w:val="en-US"/>
              </w:rPr>
            </w:pPr>
          </w:p>
          <w:p w:rsidR="00000000" w:rsidRDefault="00232B01">
            <w:pPr>
              <w:rPr>
                <w:rFonts w:eastAsia="Times New Roman"/>
                <w:i/>
                <w:iCs/>
                <w:lang w:val="en-US"/>
              </w:rPr>
            </w:pPr>
            <w:r>
              <w:rPr>
                <w:rFonts w:eastAsia="Times New Roman"/>
                <w:i/>
                <w:iCs/>
                <w:lang w:val="en-US"/>
              </w:rPr>
              <w:t xml:space="preserve">It is my first visit to this </w:t>
            </w:r>
            <w:r>
              <w:rPr>
                <w:rFonts w:eastAsia="Times New Roman"/>
                <w:i/>
                <w:iCs/>
                <w:lang w:val="en-US"/>
              </w:rPr>
              <w:t>beautiful</w:t>
            </w:r>
            <w:r>
              <w:rPr>
                <w:rFonts w:eastAsia="Times New Roman"/>
                <w:i/>
                <w:iCs/>
                <w:lang w:val="en-US"/>
              </w:rPr>
              <w:t xml:space="preserve"> country that is very similar to Lithuania in its size and history.  We have common history that dates back to </w:t>
            </w:r>
            <w:r>
              <w:rPr>
                <w:rFonts w:eastAsia="Times New Roman"/>
                <w:i/>
                <w:iCs/>
                <w:lang w:val="en-US"/>
              </w:rPr>
              <w:t>Middle age</w:t>
            </w:r>
            <w:r>
              <w:rPr>
                <w:rFonts w:eastAsia="Times New Roman"/>
                <w:i/>
                <w:iCs/>
                <w:lang w:val="en-US"/>
              </w:rPr>
              <w:t>s.</w:t>
            </w:r>
            <w:r>
              <w:rPr>
                <w:rFonts w:eastAsia="Times New Roman"/>
                <w:i/>
                <w:iCs/>
                <w:lang w:val="en-US"/>
              </w:rPr>
              <w:t xml:space="preserve"> Lithuanian and </w:t>
            </w:r>
            <w:r>
              <w:rPr>
                <w:rFonts w:eastAsia="Times New Roman"/>
                <w:i/>
                <w:iCs/>
                <w:lang w:val="en-US"/>
              </w:rPr>
              <w:t>Moldovan</w:t>
            </w:r>
            <w:r>
              <w:rPr>
                <w:rFonts w:eastAsia="Times New Roman"/>
                <w:i/>
                <w:iCs/>
                <w:lang w:val="en-US"/>
              </w:rPr>
              <w:t xml:space="preserve"> Dukes Vytautas and Ale</w:t>
            </w:r>
            <w:r>
              <w:rPr>
                <w:rFonts w:eastAsia="Times New Roman"/>
                <w:i/>
                <w:iCs/>
                <w:lang w:val="en-US"/>
              </w:rPr>
              <w:t xml:space="preserve">xander the Good started trading and personal relationships, </w:t>
            </w:r>
            <w:r>
              <w:rPr>
                <w:rFonts w:eastAsia="Times New Roman"/>
                <w:i/>
                <w:iCs/>
                <w:lang w:val="en-US"/>
              </w:rPr>
              <w:t>agreed</w:t>
            </w:r>
            <w:r>
              <w:rPr>
                <w:rFonts w:eastAsia="Times New Roman"/>
                <w:i/>
                <w:iCs/>
                <w:lang w:val="en-US"/>
              </w:rPr>
              <w:t xml:space="preserve"> to cooperate and even fought together against mutual enemies. </w:t>
            </w:r>
          </w:p>
          <w:p w:rsidR="00000000" w:rsidRDefault="00232B01">
            <w:pPr>
              <w:rPr>
                <w:rFonts w:eastAsia="Times New Roman"/>
                <w:i/>
                <w:iCs/>
                <w:lang w:val="en-US"/>
              </w:rPr>
            </w:pPr>
            <w:r>
              <w:rPr>
                <w:rFonts w:eastAsia="Times New Roman"/>
                <w:i/>
                <w:iCs/>
                <w:lang w:val="en-US"/>
              </w:rPr>
              <w:t>In those days Lithuania was extending its cultural and political ties to Euro</w:t>
            </w:r>
            <w:r>
              <w:rPr>
                <w:rFonts w:eastAsia="Times New Roman"/>
                <w:i/>
                <w:iCs/>
                <w:lang w:val="en-US"/>
              </w:rPr>
              <w:t xml:space="preserve">pe with the help of Moldova. </w:t>
            </w:r>
          </w:p>
          <w:p w:rsidR="00000000" w:rsidRDefault="00232B01">
            <w:pPr>
              <w:rPr>
                <w:lang w:val="en-US"/>
              </w:rPr>
            </w:pPr>
            <w:r>
              <w:rPr>
                <w:rFonts w:eastAsia="Times New Roman"/>
                <w:i/>
                <w:iCs/>
                <w:lang w:val="en-US"/>
              </w:rPr>
              <w:lastRenderedPageBreak/>
              <w:t xml:space="preserve">I am pleased to note that Lithuania and Moldova were close partners not only 700 years ago but also are now. I want this to stay  the same way in the future. </w:t>
            </w:r>
          </w:p>
          <w:p w:rsidR="00000000" w:rsidRDefault="00232B01">
            <w:pPr>
              <w:rPr>
                <w:lang w:val="en-US"/>
              </w:rPr>
            </w:pPr>
          </w:p>
        </w:tc>
        <w:tc>
          <w:tcPr>
            <w:tcW w:w="472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232B01">
            <w:pPr>
              <w:rPr>
                <w:rFonts w:eastAsia="Times New Roman"/>
                <w:lang w:val="en-US"/>
              </w:rPr>
            </w:pPr>
          </w:p>
        </w:tc>
      </w:tr>
      <w:tr w:rsidR="00000000">
        <w:tc>
          <w:tcPr>
            <w:tcW w:w="4860" w:type="dxa"/>
            <w:tcBorders>
              <w:top w:val="single" w:sz="4" w:space="0" w:color="000000"/>
              <w:left w:val="single" w:sz="4" w:space="0" w:color="000000"/>
              <w:bottom w:val="single" w:sz="4" w:space="0" w:color="000000"/>
            </w:tcBorders>
            <w:shd w:val="clear" w:color="auto" w:fill="auto"/>
          </w:tcPr>
          <w:p w:rsidR="00000000" w:rsidRDefault="00232B01">
            <w:pPr>
              <w:rPr>
                <w:rFonts w:eastAsia="Times New Roman"/>
                <w:lang w:val="en-US"/>
              </w:rPr>
            </w:pPr>
          </w:p>
          <w:p w:rsidR="00000000" w:rsidRDefault="00232B01">
            <w:pPr>
              <w:rPr>
                <w:rFonts w:eastAsia="Times New Roman"/>
                <w:lang w:val="en-US"/>
              </w:rPr>
            </w:pPr>
          </w:p>
        </w:tc>
        <w:tc>
          <w:tcPr>
            <w:tcW w:w="472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232B01">
            <w:pPr>
              <w:rPr>
                <w:rFonts w:eastAsia="Times New Roman"/>
                <w:lang w:val="en-US"/>
              </w:rPr>
            </w:pPr>
            <w:r>
              <w:rPr>
                <w:rFonts w:eastAsia="Times New Roman"/>
                <w:lang w:val="en-US"/>
              </w:rPr>
              <w:t>Democracy is simply the calculation of votes. This should be r</w:t>
            </w:r>
            <w:r>
              <w:rPr>
                <w:rFonts w:eastAsia="Times New Roman"/>
                <w:lang w:val="en-US"/>
              </w:rPr>
              <w:t>espected and is seen as the foundation of legitimate government, but it is not meant to be an exercise in arriving at a preexisting, knowable “will.” The majority shifts and changes across issues. The common man is not romanticized, and the notion of citiz</w:t>
            </w:r>
            <w:r>
              <w:rPr>
                <w:rFonts w:eastAsia="Times New Roman"/>
                <w:lang w:val="en-US"/>
              </w:rPr>
              <w:t>enship is broad and legalistic.</w:t>
            </w:r>
          </w:p>
          <w:p w:rsidR="00000000" w:rsidRDefault="00232B01">
            <w:pPr>
              <w:rPr>
                <w:rFonts w:eastAsia="Times New Roman"/>
                <w:lang w:val="en-US"/>
              </w:rPr>
            </w:pPr>
          </w:p>
          <w:p w:rsidR="00000000" w:rsidRDefault="00232B01">
            <w:pPr>
              <w:rPr>
                <w:rFonts w:eastAsia="Times New Roman"/>
                <w:lang w:val="en-US"/>
              </w:rPr>
            </w:pPr>
            <w:r>
              <w:rPr>
                <w:rFonts w:eastAsia="Times New Roman"/>
                <w:i/>
                <w:iCs/>
                <w:lang w:val="en-US"/>
              </w:rPr>
              <w:t xml:space="preserve">He addresses </w:t>
            </w:r>
            <w:r>
              <w:rPr>
                <w:rFonts w:eastAsia="Times New Roman"/>
                <w:i/>
                <w:iCs/>
                <w:lang w:val="en-US"/>
              </w:rPr>
              <w:t>Moldovan</w:t>
            </w:r>
            <w:r>
              <w:rPr>
                <w:rFonts w:eastAsia="Times New Roman"/>
                <w:i/>
                <w:iCs/>
                <w:lang w:val="en-US"/>
              </w:rPr>
              <w:t xml:space="preserve"> people but uses 2</w:t>
            </w:r>
            <w:r>
              <w:rPr>
                <w:rFonts w:eastAsia="Times New Roman"/>
                <w:i/>
                <w:iCs/>
                <w:vertAlign w:val="superscript"/>
                <w:lang w:val="en-US"/>
              </w:rPr>
              <w:t>nd</w:t>
            </w:r>
            <w:r>
              <w:rPr>
                <w:rFonts w:eastAsia="Times New Roman"/>
                <w:i/>
                <w:iCs/>
                <w:lang w:val="en-US"/>
              </w:rPr>
              <w:t xml:space="preserve"> person (you) to address them. "We" </w:t>
            </w:r>
            <w:r>
              <w:rPr>
                <w:rFonts w:eastAsia="Times New Roman"/>
                <w:i/>
                <w:iCs/>
                <w:lang w:val="en-US"/>
              </w:rPr>
              <w:t>refers</w:t>
            </w:r>
            <w:r>
              <w:rPr>
                <w:rFonts w:eastAsia="Times New Roman"/>
                <w:i/>
                <w:iCs/>
                <w:lang w:val="en-US"/>
              </w:rPr>
              <w:t xml:space="preserve"> to both Lithuanians and </w:t>
            </w:r>
            <w:r>
              <w:rPr>
                <w:rFonts w:eastAsia="Times New Roman"/>
                <w:i/>
                <w:iCs/>
                <w:lang w:val="en-US"/>
              </w:rPr>
              <w:t>Moldovans</w:t>
            </w:r>
            <w:r>
              <w:rPr>
                <w:rFonts w:eastAsia="Times New Roman"/>
                <w:i/>
                <w:iCs/>
                <w:lang w:val="en-US"/>
              </w:rPr>
              <w:t xml:space="preserve"> in the beginning, later switches to Lithuanians only. </w:t>
            </w:r>
          </w:p>
        </w:tc>
      </w:tr>
      <w:tr w:rsidR="00000000">
        <w:tc>
          <w:tcPr>
            <w:tcW w:w="4860" w:type="dxa"/>
            <w:tcBorders>
              <w:top w:val="single" w:sz="4" w:space="0" w:color="000000"/>
              <w:left w:val="single" w:sz="4" w:space="0" w:color="000000"/>
              <w:bottom w:val="single" w:sz="4" w:space="0" w:color="000000"/>
            </w:tcBorders>
            <w:shd w:val="clear" w:color="auto" w:fill="auto"/>
          </w:tcPr>
          <w:p w:rsidR="00000000" w:rsidRDefault="00232B01">
            <w:pPr>
              <w:rPr>
                <w:rFonts w:eastAsia="Times New Roman"/>
                <w:lang w:val="en-US"/>
              </w:rPr>
            </w:pPr>
          </w:p>
        </w:tc>
        <w:tc>
          <w:tcPr>
            <w:tcW w:w="472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232B01">
            <w:pPr>
              <w:rPr>
                <w:rFonts w:eastAsia="Times New Roman"/>
                <w:lang w:val="en-US"/>
              </w:rPr>
            </w:pPr>
            <w:r>
              <w:rPr>
                <w:rFonts w:eastAsia="Times New Roman"/>
                <w:lang w:val="en-US"/>
              </w:rPr>
              <w:t>The discourse avoids a conspiratorial tone and d</w:t>
            </w:r>
            <w:r>
              <w:rPr>
                <w:rFonts w:eastAsia="Times New Roman"/>
                <w:lang w:val="en-US"/>
              </w:rPr>
              <w:t>oes not single out any evil ruling minority. It avoids labeling opponents as evil and may not even mention them in an effort to maintain a positive tone and keep passions low.</w:t>
            </w:r>
          </w:p>
          <w:p w:rsidR="00000000" w:rsidRDefault="00232B01">
            <w:pPr>
              <w:rPr>
                <w:rFonts w:eastAsia="Times New Roman"/>
                <w:lang w:val="en-US"/>
              </w:rPr>
            </w:pPr>
          </w:p>
          <w:p w:rsidR="00000000" w:rsidRDefault="00232B01">
            <w:pPr>
              <w:rPr>
                <w:rFonts w:eastAsia="Times New Roman"/>
                <w:lang w:val="en-US"/>
              </w:rPr>
            </w:pPr>
            <w:r>
              <w:rPr>
                <w:rFonts w:eastAsia="Times New Roman"/>
                <w:i/>
                <w:iCs/>
                <w:lang w:val="en-US"/>
              </w:rPr>
              <w:t>There's no dichotomy good-bad</w:t>
            </w:r>
          </w:p>
        </w:tc>
      </w:tr>
      <w:tr w:rsidR="00000000">
        <w:tc>
          <w:tcPr>
            <w:tcW w:w="4860" w:type="dxa"/>
            <w:tcBorders>
              <w:top w:val="single" w:sz="4" w:space="0" w:color="000000"/>
              <w:left w:val="single" w:sz="4" w:space="0" w:color="000000"/>
              <w:bottom w:val="single" w:sz="4" w:space="0" w:color="000000"/>
            </w:tcBorders>
            <w:shd w:val="clear" w:color="auto" w:fill="auto"/>
          </w:tcPr>
          <w:p w:rsidR="00000000" w:rsidRDefault="00232B01">
            <w:pPr>
              <w:rPr>
                <w:rFonts w:eastAsia="Times New Roman"/>
                <w:lang w:val="en-US"/>
              </w:rPr>
            </w:pPr>
            <w:r>
              <w:rPr>
                <w:rFonts w:eastAsia="Times New Roman"/>
                <w:lang w:val="en-US"/>
              </w:rPr>
              <w:t>.</w:t>
            </w:r>
          </w:p>
        </w:tc>
        <w:tc>
          <w:tcPr>
            <w:tcW w:w="472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232B01">
            <w:pPr>
              <w:rPr>
                <w:rFonts w:eastAsia="Times New Roman"/>
                <w:lang w:val="en-US"/>
              </w:rPr>
            </w:pPr>
            <w:r>
              <w:rPr>
                <w:rFonts w:eastAsia="Times New Roman"/>
                <w:lang w:val="en-US"/>
              </w:rPr>
              <w:t>The discourse does not argue for systemic chan</w:t>
            </w:r>
            <w:r>
              <w:rPr>
                <w:rFonts w:eastAsia="Times New Roman"/>
                <w:lang w:val="en-US"/>
              </w:rPr>
              <w:t>ge but, as mentioned above, focuses on particular issues. In the words of Laclau, it is a politics of “differences” rather than “hegemony.”</w:t>
            </w:r>
          </w:p>
          <w:p w:rsidR="00000000" w:rsidRDefault="00232B01">
            <w:pPr>
              <w:rPr>
                <w:rFonts w:eastAsia="Times New Roman"/>
                <w:lang w:val="en-US"/>
              </w:rPr>
            </w:pPr>
          </w:p>
          <w:p w:rsidR="00000000" w:rsidRDefault="00232B01">
            <w:pPr>
              <w:rPr>
                <w:rFonts w:eastAsia="Times New Roman"/>
                <w:i/>
                <w:iCs/>
                <w:lang w:val="en-US"/>
              </w:rPr>
            </w:pPr>
            <w:r>
              <w:rPr>
                <w:rFonts w:eastAsia="Times New Roman"/>
                <w:i/>
                <w:iCs/>
                <w:lang w:val="en-US"/>
              </w:rPr>
              <w:t xml:space="preserve">"There will be a lot of challenges in 2010 and the success will be guaranteed only by the cooperation of </w:t>
            </w:r>
            <w:r>
              <w:rPr>
                <w:rFonts w:eastAsia="Times New Roman"/>
                <w:i/>
                <w:iCs/>
                <w:lang w:val="en-US"/>
              </w:rPr>
              <w:t>Moldovan</w:t>
            </w:r>
            <w:r>
              <w:rPr>
                <w:rFonts w:eastAsia="Times New Roman"/>
                <w:i/>
                <w:iCs/>
                <w:lang w:val="en-US"/>
              </w:rPr>
              <w:t xml:space="preserve"> g</w:t>
            </w:r>
            <w:r>
              <w:rPr>
                <w:rFonts w:eastAsia="Times New Roman"/>
                <w:i/>
                <w:iCs/>
                <w:lang w:val="en-US"/>
              </w:rPr>
              <w:t>overnment and the society and stability in the country. Let me congratulate you with 100 days of unity and stability. It shows that you have already lived through the toughest period."</w:t>
            </w:r>
          </w:p>
          <w:p w:rsidR="00000000" w:rsidRDefault="00232B01">
            <w:pPr>
              <w:rPr>
                <w:rFonts w:eastAsia="Times New Roman"/>
                <w:i/>
                <w:iCs/>
                <w:lang w:val="en-US"/>
              </w:rPr>
            </w:pPr>
            <w:r>
              <w:rPr>
                <w:rFonts w:eastAsia="Times New Roman"/>
                <w:i/>
                <w:iCs/>
                <w:lang w:val="en-US"/>
              </w:rPr>
              <w:t xml:space="preserve">"People of Moldova have a right to live in a united country that is </w:t>
            </w:r>
            <w:r>
              <w:rPr>
                <w:rFonts w:eastAsia="Times New Roman"/>
                <w:i/>
                <w:iCs/>
                <w:lang w:val="en-US"/>
              </w:rPr>
              <w:t>imp</w:t>
            </w:r>
            <w:r>
              <w:rPr>
                <w:rFonts w:eastAsia="Times New Roman"/>
                <w:i/>
                <w:iCs/>
                <w:lang w:val="en-US"/>
              </w:rPr>
              <w:t>lementing</w:t>
            </w:r>
            <w:r>
              <w:rPr>
                <w:rFonts w:eastAsia="Times New Roman"/>
                <w:i/>
                <w:iCs/>
                <w:lang w:val="en-US"/>
              </w:rPr>
              <w:t xml:space="preserve"> reforms and is getting closer and closer to the EU. That is the reason why the issue of Transdnistria will be one of the priorities during Lithuania's presidency over OSCE in 2011." </w:t>
            </w:r>
          </w:p>
          <w:p w:rsidR="00000000" w:rsidRDefault="00232B01">
            <w:pPr>
              <w:rPr>
                <w:rFonts w:eastAsia="Times New Roman"/>
                <w:i/>
                <w:iCs/>
                <w:lang w:val="en-US"/>
              </w:rPr>
            </w:pPr>
          </w:p>
        </w:tc>
      </w:tr>
      <w:tr w:rsidR="00000000">
        <w:tc>
          <w:tcPr>
            <w:tcW w:w="4860" w:type="dxa"/>
            <w:tcBorders>
              <w:top w:val="single" w:sz="4" w:space="0" w:color="000000"/>
              <w:left w:val="single" w:sz="4" w:space="0" w:color="000000"/>
              <w:bottom w:val="single" w:sz="4" w:space="0" w:color="000000"/>
            </w:tcBorders>
            <w:shd w:val="clear" w:color="auto" w:fill="auto"/>
          </w:tcPr>
          <w:p w:rsidR="00000000" w:rsidRDefault="00232B01">
            <w:pPr>
              <w:rPr>
                <w:rFonts w:eastAsia="Times New Roman"/>
                <w:lang w:val="en-US"/>
              </w:rPr>
            </w:pPr>
          </w:p>
        </w:tc>
        <w:tc>
          <w:tcPr>
            <w:tcW w:w="4726"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232B01">
            <w:pPr>
              <w:rPr>
                <w:rFonts w:eastAsia="Times New Roman"/>
                <w:lang w:val="en-US"/>
              </w:rPr>
            </w:pPr>
          </w:p>
        </w:tc>
      </w:tr>
    </w:tbl>
    <w:p w:rsidR="00000000" w:rsidRDefault="00232B01">
      <w:pPr>
        <w:ind w:left="360"/>
        <w:rPr>
          <w:lang w:val="en-US"/>
        </w:rPr>
      </w:pPr>
    </w:p>
    <w:p w:rsidR="00000000" w:rsidRDefault="00232B01">
      <w:pPr>
        <w:rPr>
          <w:lang w:val="en-US"/>
        </w:rPr>
      </w:pPr>
      <w:r>
        <w:rPr>
          <w:b/>
          <w:lang w:val="en-US"/>
        </w:rPr>
        <w:t>Overall Comments (just a few sentences):</w:t>
      </w:r>
      <w:r>
        <w:rPr>
          <w:lang w:val="en-US"/>
        </w:rPr>
        <w:t xml:space="preserve">  </w:t>
      </w:r>
    </w:p>
    <w:p w:rsidR="00000000" w:rsidRDefault="00232B01">
      <w:pPr>
        <w:rPr>
          <w:lang w:val="en-US"/>
        </w:rPr>
      </w:pPr>
      <w:r>
        <w:rPr>
          <w:lang w:val="en-US"/>
        </w:rPr>
        <w:t xml:space="preserve"> </w:t>
      </w:r>
    </w:p>
    <w:p w:rsidR="00232B01" w:rsidRDefault="00232B01">
      <w:r>
        <w:rPr>
          <w:lang w:val="en-US"/>
        </w:rPr>
        <w:t xml:space="preserve">This is the </w:t>
      </w:r>
      <w:r>
        <w:rPr>
          <w:lang w:val="en-US"/>
        </w:rPr>
        <w:t xml:space="preserve">speech that Kubilius gave in Moldova while opening an auditorium in Free International Moldova University. He was talking about common history and ties between Lithuania and </w:t>
      </w:r>
      <w:r>
        <w:rPr>
          <w:lang w:val="en-US"/>
        </w:rPr>
        <w:lastRenderedPageBreak/>
        <w:t>Moldova that date back to Middle Ages. His main themes of the speech was Euro-inte</w:t>
      </w:r>
      <w:r>
        <w:rPr>
          <w:lang w:val="en-US"/>
        </w:rPr>
        <w:t>gration and Transdnistria region problems. Kubilius encourages Moldova to pursue its future in the EU and justifies it with Moldova's history – that in the past it used to be a part of Europe and close ally of Lithuania. This notion was the most populist i</w:t>
      </w:r>
      <w:r>
        <w:rPr>
          <w:lang w:val="en-US"/>
        </w:rPr>
        <w:t xml:space="preserve">n the whole speech because of its cosmic proportions. However, overall score is 0 because apart from the references to common history Kubilius is not being populist at all. </w:t>
      </w:r>
    </w:p>
    <w:sectPr w:rsidR="00232B01">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ndale Sans UI">
    <w:altName w:val="Arial Unicode MS"/>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E6714D"/>
    <w:rsid w:val="00232B01"/>
    <w:rsid w:val="00E671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kern w:val="1"/>
      <w:sz w:val="24"/>
      <w:szCs w:val="2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ascii="Arial" w:eastAsia="Andale Sans UI"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E447W57QMQQN-3-657</_dlc_DocId>
    <_dlc_DocIdUrl xmlns="10cf6be1-8688-4bca-8c7e-c76e32febd7f">
      <Url>https://populism.byu.edu/_layouts/15/DocIdRedir.aspx?ID=E447W57QMQQN-3-657</Url>
      <Description>E447W57QMQQN-3-657</Description>
    </_dlc_DocIdUrl>
  </documentManagement>
</p:properties>
</file>

<file path=customXml/itemProps1.xml><?xml version="1.0" encoding="utf-8"?>
<ds:datastoreItem xmlns:ds="http://schemas.openxmlformats.org/officeDocument/2006/customXml" ds:itemID="{20E0C4CB-018F-4E61-920A-C5DA80DC9EC9}"/>
</file>

<file path=customXml/itemProps2.xml><?xml version="1.0" encoding="utf-8"?>
<ds:datastoreItem xmlns:ds="http://schemas.openxmlformats.org/officeDocument/2006/customXml" ds:itemID="{B17FAB8B-93CB-4A5E-84C4-82CE0CF73E30}"/>
</file>

<file path=customXml/itemProps3.xml><?xml version="1.0" encoding="utf-8"?>
<ds:datastoreItem xmlns:ds="http://schemas.openxmlformats.org/officeDocument/2006/customXml" ds:itemID="{22086179-01C9-4139-829D-067EA145420E}"/>
</file>

<file path=customXml/itemProps4.xml><?xml version="1.0" encoding="utf-8"?>
<ds:datastoreItem xmlns:ds="http://schemas.openxmlformats.org/officeDocument/2006/customXml" ds:itemID="{A7976B68-9641-4C9B-B000-C8E8CC109795}"/>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4069</Characters>
  <Application>Microsoft Office Word</Application>
  <DocSecurity>0</DocSecurity>
  <Lines>33</Lines>
  <Paragraphs>9</Paragraphs>
  <ScaleCrop>false</ScaleCrop>
  <Company>Hewlett-Packard</Company>
  <LinksUpToDate>false</LinksUpToDate>
  <CharactersWithSpaces>4773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2013-04-30T12:49:00Z</dcterms:created>
  <dcterms:modified xsi:type="dcterms:W3CDTF">2013-04-30T12:49:00Z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16f95bf9-9c76-49ba-8339-cb74f45a81b4</vt:lpwstr>
  </property>
</Properties>
</file>